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EB" w:rsidRPr="003110EB" w:rsidRDefault="003110EB" w:rsidP="003110EB">
      <w:pPr>
        <w:pStyle w:val="1"/>
        <w:shd w:val="clear" w:color="auto" w:fill="FFFFFF"/>
        <w:spacing w:before="0" w:beforeAutospacing="0" w:after="125" w:afterAutospacing="0" w:line="360" w:lineRule="atLeast"/>
        <w:jc w:val="both"/>
        <w:textAlignment w:val="baseline"/>
        <w:rPr>
          <w:bCs w:val="0"/>
          <w:color w:val="444444"/>
          <w:spacing w:val="-13"/>
          <w:sz w:val="28"/>
          <w:szCs w:val="28"/>
        </w:rPr>
      </w:pPr>
      <w:r w:rsidRPr="003110EB">
        <w:rPr>
          <w:bCs w:val="0"/>
          <w:color w:val="444444"/>
          <w:spacing w:val="-13"/>
          <w:sz w:val="28"/>
          <w:szCs w:val="28"/>
        </w:rPr>
        <w:t xml:space="preserve">Эксперимент по обмену машиночитаемыми электронными доверенностями через </w:t>
      </w:r>
      <w:proofErr w:type="spellStart"/>
      <w:r w:rsidRPr="003110EB">
        <w:rPr>
          <w:bCs w:val="0"/>
          <w:color w:val="444444"/>
          <w:spacing w:val="-13"/>
          <w:sz w:val="28"/>
          <w:szCs w:val="28"/>
        </w:rPr>
        <w:t>блокчейн-платформу</w:t>
      </w:r>
      <w:proofErr w:type="spellEnd"/>
      <w:r w:rsidRPr="003110EB">
        <w:rPr>
          <w:bCs w:val="0"/>
          <w:color w:val="444444"/>
          <w:spacing w:val="-13"/>
          <w:sz w:val="28"/>
          <w:szCs w:val="28"/>
        </w:rPr>
        <w:t xml:space="preserve"> ФНС России продлен до конца года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t xml:space="preserve">Эксперимент по апробации единой технологии обмена машиночитаемыми электронными доверенностями через </w:t>
      </w:r>
      <w:proofErr w:type="spellStart"/>
      <w:r w:rsidRPr="003110EB">
        <w:rPr>
          <w:color w:val="666666"/>
          <w:sz w:val="28"/>
          <w:szCs w:val="28"/>
        </w:rPr>
        <w:t>блокчейн-платформу</w:t>
      </w:r>
      <w:proofErr w:type="spellEnd"/>
      <w:r w:rsidRPr="003110EB">
        <w:rPr>
          <w:color w:val="666666"/>
          <w:sz w:val="28"/>
          <w:szCs w:val="28"/>
        </w:rPr>
        <w:t xml:space="preserve"> ФНС России продлевается до конца текущего года.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t xml:space="preserve">Обмен машиночитаемыми доверенностями в </w:t>
      </w:r>
      <w:proofErr w:type="spellStart"/>
      <w:r w:rsidRPr="003110EB">
        <w:rPr>
          <w:color w:val="666666"/>
          <w:sz w:val="28"/>
          <w:szCs w:val="28"/>
        </w:rPr>
        <w:t>пилотном</w:t>
      </w:r>
      <w:proofErr w:type="spellEnd"/>
      <w:r w:rsidRPr="003110EB">
        <w:rPr>
          <w:color w:val="666666"/>
          <w:sz w:val="28"/>
          <w:szCs w:val="28"/>
        </w:rPr>
        <w:t xml:space="preserve"> режиме был запущен в сентябре 2021 года на базе уже функционирующей платформы распределенного реестра </w:t>
      </w:r>
      <w:proofErr w:type="spellStart"/>
      <w:r w:rsidRPr="003110EB">
        <w:rPr>
          <w:color w:val="666666"/>
          <w:sz w:val="28"/>
          <w:szCs w:val="28"/>
        </w:rPr>
        <w:t>блокчейн</w:t>
      </w:r>
      <w:proofErr w:type="spellEnd"/>
      <w:r w:rsidRPr="003110EB">
        <w:rPr>
          <w:color w:val="666666"/>
          <w:sz w:val="28"/>
          <w:szCs w:val="28"/>
        </w:rPr>
        <w:t>. Изначально она использовалась для льготного кредитования предпринимателей, пострадавших от последствий пандемии Covid-19.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t>В рамках эксперимента у его участников были развернуты 18 узлов сети распределенного реестра: у ФНС России, операторов ЭДО, Федерального Казначейства, Федеральной службы по регулированию алкогольного рынка, банков и Федеральной электронной торговой площадки «ТЭК-Торг». Сейчас к проекту активно присоединяются новые операторы электронного документооборота, аккредитованные удостоверяющие центры и федеральные органы исполнительной власти, которые уже подтвердили свое участие в нем: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Министерство финансов Российской Федерации,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Центральный банк Российской Федерации,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Пенсионный фонд Российской Федерации,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Федеральная нотариальная палата,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Министерство труда и социальной защиты Российской Федерации,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Министерство внутренних дел Российской Федерации,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Фонд социального страхования Российской Федерации,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Федеральная служба по регулированию алкогольного рынка,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Департамент информационных технологий города Москвы,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Федеральная таможенная служба,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 xml:space="preserve">Федеральное агентство по </w:t>
      </w:r>
      <w:proofErr w:type="spellStart"/>
      <w:r w:rsidRPr="003110EB">
        <w:rPr>
          <w:rFonts w:ascii="Times New Roman" w:hAnsi="Times New Roman" w:cs="Times New Roman"/>
          <w:color w:val="666666"/>
          <w:sz w:val="28"/>
          <w:szCs w:val="28"/>
        </w:rPr>
        <w:t>недропользованию</w:t>
      </w:r>
      <w:proofErr w:type="spellEnd"/>
      <w:r w:rsidRPr="003110EB">
        <w:rPr>
          <w:rFonts w:ascii="Times New Roman" w:hAnsi="Times New Roman" w:cs="Times New Roman"/>
          <w:color w:val="666666"/>
          <w:sz w:val="28"/>
          <w:szCs w:val="28"/>
        </w:rPr>
        <w:t>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Федеральная служба государственной статистики,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Федеральная служба государственной регистрации, кадастра и картографии,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АО «Почта России»,</w:t>
      </w:r>
    </w:p>
    <w:p w:rsidR="003110EB" w:rsidRPr="003110EB" w:rsidRDefault="003110EB" w:rsidP="003110EB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3110EB">
        <w:rPr>
          <w:rFonts w:ascii="Times New Roman" w:hAnsi="Times New Roman" w:cs="Times New Roman"/>
          <w:color w:val="666666"/>
          <w:sz w:val="28"/>
          <w:szCs w:val="28"/>
        </w:rPr>
        <w:t>АО «</w:t>
      </w:r>
      <w:proofErr w:type="spellStart"/>
      <w:r w:rsidRPr="003110EB">
        <w:rPr>
          <w:rFonts w:ascii="Times New Roman" w:hAnsi="Times New Roman" w:cs="Times New Roman"/>
          <w:color w:val="666666"/>
          <w:sz w:val="28"/>
          <w:szCs w:val="28"/>
        </w:rPr>
        <w:t>Гознак</w:t>
      </w:r>
      <w:proofErr w:type="spellEnd"/>
      <w:r w:rsidRPr="003110EB">
        <w:rPr>
          <w:rFonts w:ascii="Times New Roman" w:hAnsi="Times New Roman" w:cs="Times New Roman"/>
          <w:color w:val="666666"/>
          <w:sz w:val="28"/>
          <w:szCs w:val="28"/>
        </w:rPr>
        <w:t>».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lastRenderedPageBreak/>
        <w:t>Для присоединения к эксперименту по апробации технологии обмена машиночитаемыми доверенностями новым участникам следует направить заявку в свободной форме на электронный адрес </w:t>
      </w:r>
      <w:proofErr w:type="spellStart"/>
      <w:r w:rsidRPr="003110EB">
        <w:rPr>
          <w:color w:val="666666"/>
          <w:sz w:val="28"/>
          <w:szCs w:val="28"/>
          <w:bdr w:val="none" w:sz="0" w:space="0" w:color="auto" w:frame="1"/>
        </w:rPr>
        <w:t>edo@nalog.ru</w:t>
      </w:r>
      <w:proofErr w:type="spellEnd"/>
      <w:r w:rsidRPr="003110EB">
        <w:rPr>
          <w:color w:val="666666"/>
          <w:sz w:val="28"/>
          <w:szCs w:val="28"/>
        </w:rPr>
        <w:t>. Подать ее могут операторы электронного документооборота, кредитные организации и аккредитованные удостоверяющие центры.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t>Эта технология позволяет создать среду цифрового доверия, где оперативный доступ к актуальным версиям документов для всех участников обеспечивается за счет использования технологии распределенного реестра. Такая модель является наиболее стабильной, потому в ней отсутствует единая точка отказа. Ее применение позволит унифицировать всю систему оборота машиночитаемых доверенностей и проверку полномочий в стране для бизнеса и государства во всех секторах экономики за счет единого государственного решения.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t>Напоминаем, что обязательное применение юридическими лицами и индивидуальными предпринимателями электронной (машиночитаемой) доверенности </w:t>
      </w:r>
      <w:r w:rsidRPr="003110EB">
        <w:rPr>
          <w:color w:val="666666"/>
          <w:sz w:val="28"/>
          <w:szCs w:val="28"/>
          <w:bdr w:val="none" w:sz="0" w:space="0" w:color="auto" w:frame="1"/>
        </w:rPr>
        <w:t>переносится</w:t>
      </w:r>
      <w:r w:rsidRPr="003110EB">
        <w:rPr>
          <w:color w:val="666666"/>
          <w:sz w:val="28"/>
          <w:szCs w:val="28"/>
        </w:rPr>
        <w:t> на 1 января 2023 года. До этого времени устанавливается переходный период, во время которого информационные системы всех участников электронного документооборота должны быть подготовлены к работе с новой формой электронной доверенности в машиночитаемом виде.</w:t>
      </w:r>
    </w:p>
    <w:p w:rsidR="003110EB" w:rsidRPr="00507CC8" w:rsidRDefault="003110EB" w:rsidP="003110EB">
      <w:pPr>
        <w:rPr>
          <w:i/>
        </w:rPr>
      </w:pPr>
    </w:p>
    <w:p w:rsidR="003110EB" w:rsidRPr="00157D32" w:rsidRDefault="003110EB" w:rsidP="003110E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57D32">
        <w:rPr>
          <w:rFonts w:ascii="Times New Roman" w:hAnsi="Times New Roman" w:cs="Times New Roman"/>
          <w:i/>
        </w:rPr>
        <w:t xml:space="preserve">Пресс-служба ИФНС России по </w:t>
      </w:r>
      <w:proofErr w:type="gramStart"/>
      <w:r w:rsidRPr="00157D32">
        <w:rPr>
          <w:rFonts w:ascii="Times New Roman" w:hAnsi="Times New Roman" w:cs="Times New Roman"/>
          <w:i/>
        </w:rPr>
        <w:t>г</w:t>
      </w:r>
      <w:proofErr w:type="gramEnd"/>
      <w:r w:rsidRPr="00157D32">
        <w:rPr>
          <w:rFonts w:ascii="Times New Roman" w:hAnsi="Times New Roman" w:cs="Times New Roman"/>
          <w:i/>
        </w:rPr>
        <w:t>. Сургуту</w:t>
      </w:r>
    </w:p>
    <w:p w:rsidR="003110EB" w:rsidRPr="00157D32" w:rsidRDefault="003110EB" w:rsidP="003110E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57D32">
        <w:rPr>
          <w:rFonts w:ascii="Times New Roman" w:hAnsi="Times New Roman" w:cs="Times New Roman"/>
          <w:i/>
        </w:rPr>
        <w:t xml:space="preserve"> Ханты-Мансийского автономного </w:t>
      </w:r>
      <w:proofErr w:type="spellStart"/>
      <w:r w:rsidRPr="00157D32">
        <w:rPr>
          <w:rFonts w:ascii="Times New Roman" w:hAnsi="Times New Roman" w:cs="Times New Roman"/>
          <w:i/>
        </w:rPr>
        <w:t>округа-Югры</w:t>
      </w:r>
      <w:proofErr w:type="spellEnd"/>
    </w:p>
    <w:p w:rsidR="00507CC8" w:rsidRPr="003110EB" w:rsidRDefault="00507CC8" w:rsidP="00311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0EB" w:rsidRPr="003110EB" w:rsidRDefault="003110EB" w:rsidP="00311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0EB" w:rsidRPr="003110EB" w:rsidRDefault="003110EB" w:rsidP="003110EB">
      <w:pPr>
        <w:pStyle w:val="1"/>
        <w:shd w:val="clear" w:color="auto" w:fill="FFFFFF"/>
        <w:spacing w:before="0" w:beforeAutospacing="0" w:after="125" w:afterAutospacing="0" w:line="360" w:lineRule="atLeast"/>
        <w:jc w:val="both"/>
        <w:textAlignment w:val="baseline"/>
        <w:rPr>
          <w:bCs w:val="0"/>
          <w:color w:val="444444"/>
          <w:spacing w:val="-13"/>
          <w:sz w:val="28"/>
          <w:szCs w:val="28"/>
        </w:rPr>
      </w:pPr>
      <w:r w:rsidRPr="003110EB">
        <w:rPr>
          <w:bCs w:val="0"/>
          <w:color w:val="444444"/>
          <w:spacing w:val="-13"/>
          <w:sz w:val="28"/>
          <w:szCs w:val="28"/>
        </w:rPr>
        <w:t>Обновились форма и формат сведений, которые представляют адвокатские палаты субъектов РФ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t>20 февраля 2022 года вступил в силу </w:t>
      </w:r>
      <w:r w:rsidRPr="003110EB">
        <w:rPr>
          <w:color w:val="666666"/>
          <w:sz w:val="28"/>
          <w:szCs w:val="28"/>
          <w:bdr w:val="none" w:sz="0" w:space="0" w:color="auto" w:frame="1"/>
        </w:rPr>
        <w:t>приказ ФНС России</w:t>
      </w:r>
      <w:r w:rsidRPr="003110EB">
        <w:rPr>
          <w:color w:val="666666"/>
          <w:sz w:val="28"/>
          <w:szCs w:val="28"/>
        </w:rPr>
        <w:t> об использовании обновленных формы и формата сведений об адвокатах, представляемых адвокатскими палатами субъектов Российской Федерации.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t>Так, в форму был дополнительно включен вид сведений «о восстановлении адвоката». Он будет заполняться в случае отмены региональным советом адвокатской палаты или советом Федеральной палаты адвокатов РФ ранее принятого решения о прекращении статуса адвоката.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lastRenderedPageBreak/>
        <w:t>При представлении сведений об избранной форме адвокатского образования теперь указываются: «1» – для адвокатского кабинета и «2» — для иного адвокатского образования (коллегии адвокатов, адвокатского бюро или юридической консультации).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t>Кроме того, сведения о месте жительства адвоката указываются в соответствии с </w:t>
      </w:r>
      <w:r w:rsidRPr="003110EB">
        <w:rPr>
          <w:color w:val="666666"/>
          <w:sz w:val="28"/>
          <w:szCs w:val="28"/>
          <w:bdr w:val="none" w:sz="0" w:space="0" w:color="auto" w:frame="1"/>
        </w:rPr>
        <w:t>требованиями</w:t>
      </w:r>
      <w:r w:rsidRPr="003110EB">
        <w:rPr>
          <w:color w:val="666666"/>
          <w:sz w:val="28"/>
          <w:szCs w:val="28"/>
        </w:rPr>
        <w:t> Государственного адресного реестра.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t>Новая форма также предусматривает представление в налоговые органы корректирующих сведений в отношении ранее представленных. Для этого следует указать на титульном листе в поле «Тип документа» код «02».</w:t>
      </w:r>
    </w:p>
    <w:p w:rsidR="003110EB" w:rsidRPr="003110EB" w:rsidRDefault="003110EB" w:rsidP="003110EB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666666"/>
          <w:sz w:val="28"/>
          <w:szCs w:val="28"/>
        </w:rPr>
      </w:pPr>
      <w:r w:rsidRPr="003110EB">
        <w:rPr>
          <w:color w:val="666666"/>
          <w:sz w:val="28"/>
          <w:szCs w:val="28"/>
        </w:rPr>
        <w:t>Приказ утвердил и порядок заполнения сведений об адвокате, который поможет корректно заполнять обновленную форму в зависимости от конкретных обстоятельств.</w:t>
      </w:r>
    </w:p>
    <w:p w:rsidR="003110EB" w:rsidRPr="003110EB" w:rsidRDefault="003110EB" w:rsidP="00311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0EB" w:rsidRPr="003110EB" w:rsidRDefault="003110EB" w:rsidP="00311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0EB" w:rsidRPr="00507CC8" w:rsidRDefault="003110EB" w:rsidP="00507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C8" w:rsidRPr="00507CC8" w:rsidRDefault="00507CC8" w:rsidP="00507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26F" w:rsidRPr="00507CC8" w:rsidRDefault="00BD226F" w:rsidP="00507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26F" w:rsidRPr="00507CC8" w:rsidRDefault="00BD226F">
      <w:pPr>
        <w:rPr>
          <w:i/>
        </w:rPr>
      </w:pPr>
    </w:p>
    <w:p w:rsidR="00426711" w:rsidRPr="00157D32" w:rsidRDefault="00BD226F" w:rsidP="0042671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57D32">
        <w:rPr>
          <w:rFonts w:ascii="Times New Roman" w:hAnsi="Times New Roman" w:cs="Times New Roman"/>
          <w:i/>
        </w:rPr>
        <w:t xml:space="preserve">Пресс-служба ИФНС России по </w:t>
      </w:r>
      <w:proofErr w:type="gramStart"/>
      <w:r w:rsidRPr="00157D32">
        <w:rPr>
          <w:rFonts w:ascii="Times New Roman" w:hAnsi="Times New Roman" w:cs="Times New Roman"/>
          <w:i/>
        </w:rPr>
        <w:t>г</w:t>
      </w:r>
      <w:proofErr w:type="gramEnd"/>
      <w:r w:rsidRPr="00157D32">
        <w:rPr>
          <w:rFonts w:ascii="Times New Roman" w:hAnsi="Times New Roman" w:cs="Times New Roman"/>
          <w:i/>
        </w:rPr>
        <w:t>. Сургуту</w:t>
      </w:r>
    </w:p>
    <w:p w:rsidR="00BD226F" w:rsidRPr="00157D32" w:rsidRDefault="00426711" w:rsidP="0042671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57D32">
        <w:rPr>
          <w:rFonts w:ascii="Times New Roman" w:hAnsi="Times New Roman" w:cs="Times New Roman"/>
          <w:i/>
        </w:rPr>
        <w:t xml:space="preserve"> Ханты-Мансийского автономного </w:t>
      </w:r>
      <w:proofErr w:type="spellStart"/>
      <w:r w:rsidRPr="00157D32">
        <w:rPr>
          <w:rFonts w:ascii="Times New Roman" w:hAnsi="Times New Roman" w:cs="Times New Roman"/>
          <w:i/>
        </w:rPr>
        <w:t>округа-Югры</w:t>
      </w:r>
      <w:proofErr w:type="spellEnd"/>
    </w:p>
    <w:sectPr w:rsidR="00BD226F" w:rsidRPr="00157D32" w:rsidSect="00F2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C76"/>
    <w:multiLevelType w:val="multilevel"/>
    <w:tmpl w:val="CFF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91338"/>
    <w:multiLevelType w:val="multilevel"/>
    <w:tmpl w:val="D636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26F"/>
    <w:rsid w:val="00014962"/>
    <w:rsid w:val="00157D32"/>
    <w:rsid w:val="001B27BA"/>
    <w:rsid w:val="001C3884"/>
    <w:rsid w:val="002C0040"/>
    <w:rsid w:val="003110EB"/>
    <w:rsid w:val="0035638A"/>
    <w:rsid w:val="00426711"/>
    <w:rsid w:val="004E3957"/>
    <w:rsid w:val="00507CC8"/>
    <w:rsid w:val="008B1513"/>
    <w:rsid w:val="00A56A79"/>
    <w:rsid w:val="00BD226F"/>
    <w:rsid w:val="00DD4E74"/>
    <w:rsid w:val="00F2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D7"/>
  </w:style>
  <w:style w:type="paragraph" w:styleId="1">
    <w:name w:val="heading 1"/>
    <w:basedOn w:val="a"/>
    <w:link w:val="10"/>
    <w:uiPriority w:val="9"/>
    <w:qFormat/>
    <w:rsid w:val="00BD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26F"/>
    <w:rPr>
      <w:color w:val="0000FF"/>
      <w:u w:val="single"/>
    </w:rPr>
  </w:style>
  <w:style w:type="paragraph" w:customStyle="1" w:styleId="post-byline">
    <w:name w:val="post-byline"/>
    <w:basedOn w:val="a"/>
    <w:rsid w:val="00BD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7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036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9994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6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2030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6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88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672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0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6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55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6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28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726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1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3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203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181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2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58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6439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9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74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550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3" w:color="CADDF2"/>
                                    <w:left w:val="none" w:sz="0" w:space="0" w:color="auto"/>
                                    <w:bottom w:val="single" w:sz="4" w:space="13" w:color="CADDF2"/>
                                    <w:right w:val="none" w:sz="0" w:space="0" w:color="auto"/>
                                  </w:divBdr>
                                  <w:divsChild>
                                    <w:div w:id="1638222932">
                                      <w:marLeft w:val="0"/>
                                      <w:marRight w:val="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2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8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109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243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1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67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205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F61D-9E14-434C-A187-FEEB203A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2022-02-17T15:46:00Z</dcterms:created>
  <dcterms:modified xsi:type="dcterms:W3CDTF">2022-02-28T16:10:00Z</dcterms:modified>
</cp:coreProperties>
</file>